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93C9" w14:textId="77777777" w:rsidR="00A862BC" w:rsidRPr="00CB2304" w:rsidRDefault="00A862BC" w:rsidP="00A862BC">
      <w:pPr>
        <w:spacing w:line="240" w:lineRule="auto"/>
        <w:rPr>
          <w:b/>
          <w:lang w:val="it-CH"/>
        </w:rPr>
      </w:pPr>
      <w:bookmarkStart w:id="0" w:name="BkmStart"/>
      <w:bookmarkEnd w:id="0"/>
      <w:r w:rsidRPr="00CB2304">
        <w:rPr>
          <w:b/>
          <w:lang w:val="it-CH"/>
        </w:rPr>
        <w:t>COMUNICATO STAMPA</w:t>
      </w:r>
    </w:p>
    <w:p w14:paraId="3E0DA9C0" w14:textId="7674D4AB" w:rsidR="00371B73" w:rsidRPr="00A862BC" w:rsidRDefault="00A862BC" w:rsidP="00371B73">
      <w:pPr>
        <w:spacing w:line="240" w:lineRule="auto"/>
        <w:rPr>
          <w:lang w:val="it-CH"/>
        </w:rPr>
      </w:pPr>
      <w:r w:rsidRPr="00A862BC">
        <w:rPr>
          <w:lang w:val="it-CH"/>
        </w:rPr>
        <w:t xml:space="preserve"> </w:t>
      </w:r>
    </w:p>
    <w:p w14:paraId="20F32D25" w14:textId="41BE9A4D" w:rsidR="00A374FF" w:rsidRDefault="00A862BC" w:rsidP="00371B73">
      <w:pPr>
        <w:spacing w:line="240" w:lineRule="auto"/>
        <w:rPr>
          <w:sz w:val="24"/>
          <w:lang w:val="it-CH"/>
        </w:rPr>
      </w:pPr>
      <w:r w:rsidRPr="00A862BC">
        <w:rPr>
          <w:sz w:val="24"/>
          <w:lang w:val="it-CH"/>
        </w:rPr>
        <w:t xml:space="preserve">BAK </w:t>
      </w:r>
      <w:r>
        <w:rPr>
          <w:sz w:val="24"/>
          <w:lang w:val="it-CH"/>
        </w:rPr>
        <w:t>–</w:t>
      </w:r>
      <w:r w:rsidRPr="00A862BC">
        <w:rPr>
          <w:sz w:val="24"/>
          <w:lang w:val="it-CH"/>
        </w:rPr>
        <w:t xml:space="preserve"> Prospettive economiche per l'industria automobilistica svizzera</w:t>
      </w:r>
    </w:p>
    <w:p w14:paraId="17120739" w14:textId="77777777" w:rsidR="00A862BC" w:rsidRPr="00A862BC" w:rsidRDefault="00A862BC" w:rsidP="00371B73">
      <w:pPr>
        <w:spacing w:line="240" w:lineRule="auto"/>
        <w:rPr>
          <w:sz w:val="24"/>
          <w:lang w:val="it-CH"/>
        </w:rPr>
      </w:pPr>
    </w:p>
    <w:p w14:paraId="44DE5E4C" w14:textId="07EB6FFC" w:rsidR="00FE2270" w:rsidRDefault="00A862BC" w:rsidP="00371B73">
      <w:pPr>
        <w:spacing w:line="240" w:lineRule="auto"/>
        <w:rPr>
          <w:b/>
          <w:bCs/>
          <w:sz w:val="32"/>
          <w:szCs w:val="32"/>
          <w:lang w:val="it-CH"/>
        </w:rPr>
      </w:pPr>
      <w:r w:rsidRPr="00A862BC">
        <w:rPr>
          <w:b/>
          <w:bCs/>
          <w:sz w:val="32"/>
          <w:szCs w:val="32"/>
          <w:lang w:val="it-CH"/>
        </w:rPr>
        <w:t>Le auto ibride sostituiscono quelle a benzina, il commercio in officina prospera</w:t>
      </w:r>
    </w:p>
    <w:p w14:paraId="544A34CF" w14:textId="77777777" w:rsidR="00A862BC" w:rsidRPr="00A862BC" w:rsidRDefault="00A862BC" w:rsidP="00371B73">
      <w:pPr>
        <w:spacing w:line="240" w:lineRule="auto"/>
        <w:rPr>
          <w:lang w:val="it-CH"/>
        </w:rPr>
      </w:pPr>
    </w:p>
    <w:p w14:paraId="7F372633" w14:textId="51285150" w:rsidR="009A71F5" w:rsidRDefault="00A862BC" w:rsidP="00A46922">
      <w:pPr>
        <w:spacing w:line="240" w:lineRule="auto"/>
        <w:rPr>
          <w:b/>
          <w:i/>
          <w:sz w:val="20"/>
          <w:szCs w:val="20"/>
          <w:lang w:val="it-CH"/>
        </w:rPr>
      </w:pPr>
      <w:r w:rsidRPr="00A862BC">
        <w:rPr>
          <w:b/>
          <w:i/>
          <w:sz w:val="20"/>
          <w:szCs w:val="20"/>
          <w:lang w:val="it-CH"/>
        </w:rPr>
        <w:t xml:space="preserve">Berna, 11 novembre 2024 </w:t>
      </w:r>
      <w:r>
        <w:rPr>
          <w:b/>
          <w:i/>
          <w:sz w:val="20"/>
          <w:szCs w:val="20"/>
          <w:lang w:val="it-CH"/>
        </w:rPr>
        <w:t>–</w:t>
      </w:r>
      <w:r w:rsidRPr="00A862BC">
        <w:rPr>
          <w:b/>
          <w:i/>
          <w:sz w:val="20"/>
          <w:szCs w:val="20"/>
          <w:lang w:val="it-CH"/>
        </w:rPr>
        <w:t xml:space="preserve"> Dopo la significativa ripresa dell'anno scorso, nel 2024 il settore automobilistico svizzero si trova di nuovo alle prese con una difficile situazione di mercato. Il numero di veicoli nuovi immatricolati è di nuovo in calo. Solo le auto ibride registrano un saldo positivo. Nel prossimo anno, sia il mercato delle auto nuove che quello delle auto usate registreranno una leggera ripresa. Non ci saranno ancora grandi effetti di recupero. Tuttavia, è probabile che le vendite nel settore delle officine aumentino ulteriormente.</w:t>
      </w:r>
    </w:p>
    <w:p w14:paraId="07A95D13" w14:textId="77777777" w:rsidR="00A862BC" w:rsidRPr="00A862BC" w:rsidRDefault="00A862BC" w:rsidP="00A46922">
      <w:pPr>
        <w:spacing w:line="240" w:lineRule="auto"/>
        <w:rPr>
          <w:rFonts w:cs="Arial"/>
          <w:szCs w:val="22"/>
          <w:lang w:val="it-CH"/>
        </w:rPr>
      </w:pPr>
    </w:p>
    <w:p w14:paraId="5EAF5179" w14:textId="4BAD2EF1" w:rsidR="00A862BC" w:rsidRPr="00A862BC" w:rsidRDefault="00A862BC" w:rsidP="00A862BC">
      <w:pPr>
        <w:jc w:val="both"/>
        <w:rPr>
          <w:sz w:val="20"/>
          <w:szCs w:val="22"/>
          <w:lang w:val="it-CH"/>
        </w:rPr>
      </w:pPr>
      <w:r w:rsidRPr="00A862BC">
        <w:rPr>
          <w:sz w:val="20"/>
          <w:szCs w:val="22"/>
          <w:lang w:val="it-CH"/>
        </w:rPr>
        <w:t>Mentre il mercato delle auto nuove ha registrato una forte ripresa nel 2023, il sentimento di debolezza dei consumatori si sta facendo sentire nell'anno in corso. Alla fine di settembre, il numero di nuove immatricolazioni era inferiore del 3,9</w:t>
      </w:r>
      <w:r>
        <w:rPr>
          <w:sz w:val="20"/>
          <w:szCs w:val="22"/>
          <w:lang w:val="it-CH"/>
        </w:rPr>
        <w:t xml:space="preserve"> </w:t>
      </w:r>
      <w:r w:rsidRPr="00A862BC">
        <w:rPr>
          <w:sz w:val="20"/>
          <w:szCs w:val="22"/>
          <w:lang w:val="it-CH"/>
        </w:rPr>
        <w:t xml:space="preserve">% rispetto all'anno precedente. In particolare, la domanda di veicoli con il classico motore a combustione è diminuita notevolmente. Allo stesso tempo, è aumentato il numero di auto ibride di nuova immatricolazione (mild e full </w:t>
      </w:r>
      <w:proofErr w:type="spellStart"/>
      <w:r w:rsidRPr="00A862BC">
        <w:rPr>
          <w:sz w:val="20"/>
          <w:szCs w:val="22"/>
          <w:lang w:val="it-CH"/>
        </w:rPr>
        <w:t>hybrid</w:t>
      </w:r>
      <w:proofErr w:type="spellEnd"/>
      <w:r w:rsidRPr="00A862BC">
        <w:rPr>
          <w:sz w:val="20"/>
          <w:szCs w:val="22"/>
          <w:lang w:val="it-CH"/>
        </w:rPr>
        <w:t>). Di conseguenza, hanno sostituito le auto a benzina in cima alla classifica in termini di quota di mercato delle nuove immatricolazioni. Con una quota di mercato di poco inferiore al 33</w:t>
      </w:r>
      <w:r>
        <w:rPr>
          <w:sz w:val="20"/>
          <w:szCs w:val="22"/>
          <w:lang w:val="it-CH"/>
        </w:rPr>
        <w:t xml:space="preserve"> </w:t>
      </w:r>
      <w:r w:rsidRPr="00A862BC">
        <w:rPr>
          <w:sz w:val="20"/>
          <w:szCs w:val="22"/>
          <w:lang w:val="it-CH"/>
        </w:rPr>
        <w:t>%, sono state chiaramente il gruppo di veicoli più popolare, seguite dalle auto a benzina con il 30</w:t>
      </w:r>
      <w:r>
        <w:rPr>
          <w:sz w:val="20"/>
          <w:szCs w:val="22"/>
          <w:lang w:val="it-CH"/>
        </w:rPr>
        <w:t xml:space="preserve"> </w:t>
      </w:r>
      <w:r w:rsidRPr="00A862BC">
        <w:rPr>
          <w:sz w:val="20"/>
          <w:szCs w:val="22"/>
          <w:lang w:val="it-CH"/>
        </w:rPr>
        <w:t xml:space="preserve">%. I veicoli elettrici puri (BEV) hanno perso quote di mercato e si attestano a poco meno del 19 </w:t>
      </w:r>
      <w:r>
        <w:rPr>
          <w:sz w:val="20"/>
          <w:szCs w:val="22"/>
          <w:lang w:val="it-CH"/>
        </w:rPr>
        <w:t>%</w:t>
      </w:r>
      <w:r w:rsidRPr="00A862BC">
        <w:rPr>
          <w:sz w:val="20"/>
          <w:szCs w:val="22"/>
          <w:lang w:val="it-CH"/>
        </w:rPr>
        <w:t>. La tendenza dei primi tre trimestri continuerà a svantaggio dei proprietari di garage AGVS nell'ultimo trimestre, con il numero di immatricolazioni di nuovi veicoli che rimarrà significativamente al di sotto della cifra dell'anno precedente, a 243.000 (-3,7</w:t>
      </w:r>
      <w:r>
        <w:rPr>
          <w:sz w:val="20"/>
          <w:szCs w:val="22"/>
          <w:lang w:val="it-CH"/>
        </w:rPr>
        <w:t xml:space="preserve"> </w:t>
      </w:r>
      <w:r w:rsidRPr="00A862BC">
        <w:rPr>
          <w:sz w:val="20"/>
          <w:szCs w:val="22"/>
          <w:lang w:val="it-CH"/>
        </w:rPr>
        <w:t xml:space="preserve">% rispetto al 2023).  </w:t>
      </w:r>
    </w:p>
    <w:p w14:paraId="06D5740A" w14:textId="77777777" w:rsidR="00A862BC" w:rsidRPr="00A862BC" w:rsidRDefault="00A862BC" w:rsidP="00A862BC">
      <w:pPr>
        <w:jc w:val="both"/>
        <w:rPr>
          <w:sz w:val="20"/>
          <w:szCs w:val="22"/>
          <w:lang w:val="it-CH"/>
        </w:rPr>
      </w:pPr>
    </w:p>
    <w:p w14:paraId="45D15862" w14:textId="0F21CA9C" w:rsidR="00A862BC" w:rsidRPr="00A862BC" w:rsidRDefault="00A862BC" w:rsidP="00A862BC">
      <w:pPr>
        <w:jc w:val="both"/>
        <w:rPr>
          <w:sz w:val="20"/>
          <w:szCs w:val="22"/>
          <w:lang w:val="it-CH"/>
        </w:rPr>
      </w:pPr>
      <w:r w:rsidRPr="00A862BC">
        <w:rPr>
          <w:sz w:val="20"/>
          <w:szCs w:val="22"/>
          <w:lang w:val="it-CH"/>
        </w:rPr>
        <w:t>A differenza del mercato delle auto nuove, quello delle auto usate ha registrato un leggero aumento nell'anno in corso. Complessivamente, a fine settembre è passato di mano l'1,6% di veicoli in più rispetto al 2023, un risultato positivo trainato interamente da veicoli con sistemi di trazione alternativi. La domanda di veicoli usati con il classico motore a combustione è invece in netto calo. Tuttavia, il mercato dell'usato è ancora dominato dai classici motori a combustione, che hanno una quota di mercato complessiva di oltre l'85</w:t>
      </w:r>
      <w:r>
        <w:rPr>
          <w:sz w:val="20"/>
          <w:szCs w:val="22"/>
          <w:lang w:val="it-CH"/>
        </w:rPr>
        <w:t xml:space="preserve"> </w:t>
      </w:r>
      <w:r w:rsidRPr="00A862BC">
        <w:rPr>
          <w:sz w:val="20"/>
          <w:szCs w:val="22"/>
          <w:lang w:val="it-CH"/>
        </w:rPr>
        <w:t>%. Tuttavia, l'influenza dei sistemi di propulsione alternativi sta crescendo anche qui, con una quota di mercato di poco inferiore al 10</w:t>
      </w:r>
      <w:r>
        <w:rPr>
          <w:sz w:val="20"/>
          <w:szCs w:val="22"/>
          <w:lang w:val="it-CH"/>
        </w:rPr>
        <w:t xml:space="preserve"> </w:t>
      </w:r>
      <w:r w:rsidRPr="00A862BC">
        <w:rPr>
          <w:sz w:val="20"/>
          <w:szCs w:val="22"/>
          <w:lang w:val="it-CH"/>
        </w:rPr>
        <w:t xml:space="preserve">%. Entro la fine dell'anno è previsto il passaggio di proprietà di circa 768.000 veicoli. </w:t>
      </w:r>
    </w:p>
    <w:p w14:paraId="0B387CA6" w14:textId="77777777" w:rsidR="00A862BC" w:rsidRPr="00A862BC" w:rsidRDefault="00A862BC" w:rsidP="00A862BC">
      <w:pPr>
        <w:jc w:val="both"/>
        <w:rPr>
          <w:sz w:val="20"/>
          <w:szCs w:val="22"/>
          <w:lang w:val="it-CH"/>
        </w:rPr>
      </w:pPr>
    </w:p>
    <w:p w14:paraId="1112A601" w14:textId="77777777" w:rsidR="00A862BC" w:rsidRPr="00A862BC" w:rsidRDefault="00A862BC" w:rsidP="00A862BC">
      <w:pPr>
        <w:jc w:val="both"/>
        <w:rPr>
          <w:b/>
          <w:bCs/>
          <w:sz w:val="20"/>
          <w:szCs w:val="22"/>
          <w:lang w:val="it-CH"/>
        </w:rPr>
      </w:pPr>
      <w:r w:rsidRPr="00A862BC">
        <w:rPr>
          <w:b/>
          <w:bCs/>
          <w:sz w:val="20"/>
          <w:szCs w:val="22"/>
          <w:lang w:val="it-CH"/>
        </w:rPr>
        <w:t xml:space="preserve">Sviluppo incoraggiante nel settore delle officine </w:t>
      </w:r>
    </w:p>
    <w:p w14:paraId="13772299" w14:textId="77777777" w:rsidR="00A862BC" w:rsidRPr="00A862BC" w:rsidRDefault="00A862BC" w:rsidP="00A862BC">
      <w:pPr>
        <w:jc w:val="both"/>
        <w:rPr>
          <w:sz w:val="20"/>
          <w:szCs w:val="22"/>
          <w:lang w:val="it-CH"/>
        </w:rPr>
      </w:pPr>
      <w:r w:rsidRPr="00A862BC">
        <w:rPr>
          <w:sz w:val="20"/>
          <w:szCs w:val="22"/>
          <w:lang w:val="it-CH"/>
        </w:rPr>
        <w:t xml:space="preserve">BAK </w:t>
      </w:r>
      <w:proofErr w:type="spellStart"/>
      <w:r w:rsidRPr="00A862BC">
        <w:rPr>
          <w:sz w:val="20"/>
          <w:szCs w:val="22"/>
          <w:lang w:val="it-CH"/>
        </w:rPr>
        <w:t>Economics</w:t>
      </w:r>
      <w:proofErr w:type="spellEnd"/>
      <w:r w:rsidRPr="00A862BC">
        <w:rPr>
          <w:sz w:val="20"/>
          <w:szCs w:val="22"/>
          <w:lang w:val="it-CH"/>
        </w:rPr>
        <w:t xml:space="preserve"> prevede un bilancio positivo per il mercato delle auto nuove e usate nel prossimo anno. L'ulteriore miglioramento della situazione economica dovrebbe portare a una visione più ottimistica da parte dei consumatori. Inoltre, i prezzi dei veicoli nuovi e usati continueranno a diminuire nel prossimo anno. Tuttavia, non ci saranno ancora grandi effetti di recupero dopo il basso numero di nuove immatricolazioni e di cambi di proprietario degli ultimi anni. Ciò è dovuto anche al fatto che i consumatori risentono ancora delle difficoltà economiche e quindi è probabile che rimangano esitanti nel 2025. </w:t>
      </w:r>
    </w:p>
    <w:p w14:paraId="5C76FDD4" w14:textId="77777777" w:rsidR="00A862BC" w:rsidRPr="00A862BC" w:rsidRDefault="00A862BC" w:rsidP="00A862BC">
      <w:pPr>
        <w:jc w:val="both"/>
        <w:rPr>
          <w:sz w:val="20"/>
          <w:szCs w:val="22"/>
          <w:lang w:val="it-CH"/>
        </w:rPr>
      </w:pPr>
    </w:p>
    <w:p w14:paraId="5BF49B56" w14:textId="38124A42" w:rsidR="00A862BC" w:rsidRPr="00A862BC" w:rsidRDefault="00A862BC" w:rsidP="00A862BC">
      <w:pPr>
        <w:jc w:val="both"/>
        <w:rPr>
          <w:sz w:val="20"/>
          <w:szCs w:val="22"/>
          <w:lang w:val="it-CH"/>
        </w:rPr>
      </w:pPr>
      <w:r w:rsidRPr="00A862BC">
        <w:rPr>
          <w:sz w:val="20"/>
          <w:szCs w:val="22"/>
          <w:lang w:val="it-CH"/>
        </w:rPr>
        <w:t xml:space="preserve">BAK </w:t>
      </w:r>
      <w:proofErr w:type="spellStart"/>
      <w:r w:rsidRPr="00A862BC">
        <w:rPr>
          <w:sz w:val="20"/>
          <w:szCs w:val="22"/>
          <w:lang w:val="it-CH"/>
        </w:rPr>
        <w:t>Economics</w:t>
      </w:r>
      <w:proofErr w:type="spellEnd"/>
      <w:r w:rsidRPr="00A862BC">
        <w:rPr>
          <w:sz w:val="20"/>
          <w:szCs w:val="22"/>
          <w:lang w:val="it-CH"/>
        </w:rPr>
        <w:t xml:space="preserve"> prevede un numero di immatricolazioni di circa 246.000 (+1,3</w:t>
      </w:r>
      <w:r>
        <w:rPr>
          <w:sz w:val="20"/>
          <w:szCs w:val="22"/>
          <w:lang w:val="it-CH"/>
        </w:rPr>
        <w:t xml:space="preserve"> </w:t>
      </w:r>
      <w:r w:rsidRPr="00A862BC">
        <w:rPr>
          <w:sz w:val="20"/>
          <w:szCs w:val="22"/>
          <w:lang w:val="it-CH"/>
        </w:rPr>
        <w:t>%) per il mercato delle auto nuove. Sul mercato delle auto usate, è probabile che passino di mano circa 785.000 veicoli (+2,2</w:t>
      </w:r>
      <w:r>
        <w:rPr>
          <w:sz w:val="20"/>
          <w:szCs w:val="22"/>
          <w:lang w:val="it-CH"/>
        </w:rPr>
        <w:t xml:space="preserve"> </w:t>
      </w:r>
      <w:r w:rsidRPr="00A862BC">
        <w:rPr>
          <w:sz w:val="20"/>
          <w:szCs w:val="22"/>
          <w:lang w:val="it-CH"/>
        </w:rPr>
        <w:t xml:space="preserve">%). La tendenza verso i veicoli ibridi continuerà anche l'anno prossimo </w:t>
      </w:r>
      <w:r>
        <w:rPr>
          <w:sz w:val="20"/>
          <w:szCs w:val="22"/>
          <w:lang w:val="it-CH"/>
        </w:rPr>
        <w:t>–</w:t>
      </w:r>
      <w:r w:rsidRPr="00A862BC">
        <w:rPr>
          <w:sz w:val="20"/>
          <w:szCs w:val="22"/>
          <w:lang w:val="it-CH"/>
        </w:rPr>
        <w:t xml:space="preserve"> le officine AGVS dovrebbero sicuramente tenere d'occhio questo sviluppo. I veicoli elettrici puri, invece, probabilmente continueranno ad affrontare una situazione di mercato difficile anche l'anno prossimo a causa dei loro valori residui attualmente piuttosto bassi.</w:t>
      </w:r>
    </w:p>
    <w:p w14:paraId="51F80C9B" w14:textId="77777777" w:rsidR="00A862BC" w:rsidRPr="00A862BC" w:rsidRDefault="00A862BC" w:rsidP="00A862BC">
      <w:pPr>
        <w:jc w:val="both"/>
        <w:rPr>
          <w:sz w:val="20"/>
          <w:szCs w:val="22"/>
          <w:lang w:val="it-CH"/>
        </w:rPr>
      </w:pPr>
    </w:p>
    <w:p w14:paraId="0BE29042" w14:textId="74B0CAE3" w:rsidR="005350B7" w:rsidRDefault="00A862BC" w:rsidP="00A862BC">
      <w:pPr>
        <w:jc w:val="both"/>
        <w:rPr>
          <w:sz w:val="20"/>
          <w:szCs w:val="22"/>
          <w:lang w:val="it-CH"/>
        </w:rPr>
      </w:pPr>
      <w:r w:rsidRPr="00A862BC">
        <w:rPr>
          <w:sz w:val="20"/>
          <w:szCs w:val="22"/>
          <w:lang w:val="it-CH"/>
        </w:rPr>
        <w:t xml:space="preserve">Dal punto di vista dell'AGVS, le previsioni per il settore delle autofficine sono incoraggianti: è probabile che le vendite nominali in questo settore continuino a crescere sia nell'anno in corso che nel prossimo. Ciò è dovuto, da un lato, al buon utilizzo della capacità produttiva nel settore delle autorimesse e, dall'altro, all'andamento dei prezzi: l'aumento delle componenti di costo delle autorimesse nell'anno in corso ha portato a un aumento dei prezzi di trasferimento. BAK </w:t>
      </w:r>
      <w:proofErr w:type="spellStart"/>
      <w:r w:rsidRPr="00A862BC">
        <w:rPr>
          <w:sz w:val="20"/>
          <w:szCs w:val="22"/>
          <w:lang w:val="it-CH"/>
        </w:rPr>
        <w:t>Economics</w:t>
      </w:r>
      <w:proofErr w:type="spellEnd"/>
      <w:r w:rsidRPr="00A862BC">
        <w:rPr>
          <w:sz w:val="20"/>
          <w:szCs w:val="22"/>
          <w:lang w:val="it-CH"/>
        </w:rPr>
        <w:t xml:space="preserve"> prevede quindi una crescita delle vendite dell'1,4</w:t>
      </w:r>
      <w:r>
        <w:rPr>
          <w:sz w:val="20"/>
          <w:szCs w:val="22"/>
          <w:lang w:val="it-CH"/>
        </w:rPr>
        <w:t xml:space="preserve"> </w:t>
      </w:r>
      <w:r w:rsidRPr="00A862BC">
        <w:rPr>
          <w:sz w:val="20"/>
          <w:szCs w:val="22"/>
          <w:lang w:val="it-CH"/>
        </w:rPr>
        <w:t>% nel 2025.</w:t>
      </w:r>
    </w:p>
    <w:p w14:paraId="10A787E1" w14:textId="77777777" w:rsidR="00E14666" w:rsidRDefault="00E14666" w:rsidP="00A862BC">
      <w:pPr>
        <w:jc w:val="both"/>
        <w:rPr>
          <w:sz w:val="20"/>
          <w:szCs w:val="22"/>
          <w:lang w:val="it-CH"/>
        </w:rPr>
      </w:pPr>
    </w:p>
    <w:p w14:paraId="5BAE7AA4" w14:textId="6838352B" w:rsidR="00E14666" w:rsidRPr="00E14666" w:rsidRDefault="00E14666" w:rsidP="00A862BC">
      <w:pPr>
        <w:jc w:val="both"/>
        <w:rPr>
          <w:b/>
          <w:bCs/>
          <w:i/>
          <w:iCs/>
          <w:color w:val="0070C0"/>
          <w:sz w:val="20"/>
          <w:szCs w:val="22"/>
          <w:lang w:val="it-CH"/>
        </w:rPr>
      </w:pPr>
      <w:r w:rsidRPr="00E14666">
        <w:rPr>
          <w:b/>
          <w:bCs/>
          <w:i/>
          <w:iCs/>
          <w:color w:val="0070C0"/>
          <w:sz w:val="20"/>
          <w:szCs w:val="22"/>
          <w:lang w:val="it-CH"/>
        </w:rPr>
        <w:t>Previsione di sviluppo delle vendite nel settore delle officine</w:t>
      </w:r>
    </w:p>
    <w:p w14:paraId="76DCF1D6" w14:textId="77777777" w:rsidR="00A862BC" w:rsidRPr="00A862BC" w:rsidRDefault="00A862BC" w:rsidP="00A862BC">
      <w:pPr>
        <w:jc w:val="both"/>
        <w:rPr>
          <w:rFonts w:cs="Arial"/>
          <w:b/>
          <w:bCs/>
          <w:i/>
          <w:iCs/>
          <w:sz w:val="20"/>
          <w:szCs w:val="20"/>
          <w:lang w:val="it-CH"/>
        </w:rPr>
      </w:pPr>
    </w:p>
    <w:p w14:paraId="7B7ABE29" w14:textId="6F36E25F" w:rsidR="005350B7" w:rsidRDefault="00E14666" w:rsidP="005350B7">
      <w:pPr>
        <w:spacing w:line="240" w:lineRule="auto"/>
        <w:rPr>
          <w:rFonts w:cs="Arial"/>
          <w:b/>
          <w:bCs/>
          <w:i/>
          <w:iCs/>
          <w:sz w:val="20"/>
          <w:szCs w:val="20"/>
        </w:rPr>
      </w:pPr>
      <w:r>
        <w:rPr>
          <w:rFonts w:cs="Arial"/>
          <w:b/>
          <w:bCs/>
          <w:i/>
          <w:iCs/>
          <w:noProof/>
          <w:sz w:val="20"/>
          <w:szCs w:val="20"/>
        </w:rPr>
        <w:drawing>
          <wp:inline distT="0" distB="0" distL="0" distR="0" wp14:anchorId="768B4DE2" wp14:editId="5E2872C0">
            <wp:extent cx="5099610" cy="2457450"/>
            <wp:effectExtent l="0" t="0" r="6350" b="0"/>
            <wp:docPr id="15285690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2834" cy="2459004"/>
                    </a:xfrm>
                    <a:prstGeom prst="rect">
                      <a:avLst/>
                    </a:prstGeom>
                    <a:noFill/>
                    <a:ln>
                      <a:noFill/>
                    </a:ln>
                  </pic:spPr>
                </pic:pic>
              </a:graphicData>
            </a:graphic>
          </wp:inline>
        </w:drawing>
      </w:r>
    </w:p>
    <w:p w14:paraId="2D957693" w14:textId="77777777" w:rsidR="005350B7" w:rsidRDefault="005350B7" w:rsidP="005350B7">
      <w:pPr>
        <w:spacing w:line="240" w:lineRule="auto"/>
        <w:rPr>
          <w:rFonts w:cs="Arial"/>
          <w:b/>
          <w:bCs/>
          <w:i/>
          <w:iCs/>
          <w:sz w:val="20"/>
          <w:szCs w:val="20"/>
        </w:rPr>
      </w:pPr>
    </w:p>
    <w:p w14:paraId="5AE68201" w14:textId="77777777" w:rsidR="005350B7" w:rsidRPr="00E14666" w:rsidRDefault="005350B7" w:rsidP="005350B7">
      <w:pPr>
        <w:pStyle w:val="Lauftextfett"/>
        <w:rPr>
          <w:rFonts w:ascii="Arial" w:hAnsi="Arial" w:cs="Arial"/>
          <w:sz w:val="18"/>
          <w:szCs w:val="16"/>
          <w:lang w:val="it-CH"/>
        </w:rPr>
      </w:pPr>
      <w:r w:rsidRPr="00E14666">
        <w:rPr>
          <w:rFonts w:ascii="Arial" w:hAnsi="Arial" w:cs="Arial"/>
          <w:sz w:val="18"/>
          <w:szCs w:val="16"/>
          <w:lang w:val="it-CH"/>
        </w:rPr>
        <w:t xml:space="preserve">BAK </w:t>
      </w:r>
      <w:proofErr w:type="spellStart"/>
      <w:r w:rsidRPr="00E14666">
        <w:rPr>
          <w:rFonts w:ascii="Arial" w:hAnsi="Arial" w:cs="Arial"/>
          <w:sz w:val="18"/>
          <w:szCs w:val="16"/>
          <w:lang w:val="it-CH"/>
        </w:rPr>
        <w:t>Economics</w:t>
      </w:r>
      <w:proofErr w:type="spellEnd"/>
      <w:r w:rsidRPr="00E14666">
        <w:rPr>
          <w:rFonts w:ascii="Arial" w:hAnsi="Arial" w:cs="Arial"/>
          <w:sz w:val="18"/>
          <w:szCs w:val="16"/>
          <w:lang w:val="it-CH"/>
        </w:rPr>
        <w:t xml:space="preserve"> AG</w:t>
      </w:r>
    </w:p>
    <w:p w14:paraId="2E6AF16C" w14:textId="77777777" w:rsidR="00A862BC" w:rsidRPr="00A862BC" w:rsidRDefault="00A862BC" w:rsidP="00A862BC">
      <w:pPr>
        <w:pStyle w:val="Lauftext"/>
        <w:jc w:val="both"/>
        <w:rPr>
          <w:rFonts w:ascii="Arial" w:hAnsi="Arial" w:cs="Arial"/>
          <w:sz w:val="20"/>
          <w:szCs w:val="16"/>
          <w:lang w:val="it-CH"/>
        </w:rPr>
      </w:pPr>
      <w:r w:rsidRPr="00A862BC">
        <w:rPr>
          <w:rFonts w:ascii="Arial" w:hAnsi="Arial"/>
          <w:sz w:val="18"/>
          <w:szCs w:val="16"/>
          <w:lang w:val="it-CH"/>
        </w:rPr>
        <w:t xml:space="preserve">BAK </w:t>
      </w:r>
      <w:proofErr w:type="spellStart"/>
      <w:r w:rsidRPr="00A862BC">
        <w:rPr>
          <w:rFonts w:ascii="Arial" w:hAnsi="Arial"/>
          <w:sz w:val="18"/>
          <w:szCs w:val="16"/>
          <w:lang w:val="it-CH"/>
        </w:rPr>
        <w:t>Economics</w:t>
      </w:r>
      <w:proofErr w:type="spellEnd"/>
      <w:r w:rsidRPr="00A862BC">
        <w:rPr>
          <w:rFonts w:ascii="Arial" w:hAnsi="Arial"/>
          <w:sz w:val="18"/>
          <w:szCs w:val="16"/>
          <w:lang w:val="it-CH"/>
        </w:rPr>
        <w:t xml:space="preserve"> AG è l’istituto indipendente di ricerche economiche che compie approfonditi studi politico-economici e rende accessibili le conoscenze acquisite alla politica, all’economia e alla società. Una delle attività strategiche è l’analisi degli specifici fattori di influenza settoriali. In questo ambito l’obiettivo è quello di elaborare previsioni e analisi dei rischi specifici settoriali, così come di studiare gli effetti dei nessi strutturali e delle condizioni quadro politico-economiche sull’evoluzione dei singoli rami economici. L’ampia infrastruttura di modelli e di analisi funge anche da punto di partenza per l’analisi approfondita di questioni specifiche aziendali, nonché per lo sviluppo di soluzioni per le aziende.</w:t>
      </w:r>
      <w:r w:rsidRPr="00A862BC">
        <w:rPr>
          <w:rFonts w:ascii="Arial" w:hAnsi="Arial"/>
          <w:sz w:val="20"/>
          <w:szCs w:val="16"/>
          <w:lang w:val="it-CH"/>
        </w:rPr>
        <w:t xml:space="preserve"> </w:t>
      </w:r>
    </w:p>
    <w:p w14:paraId="5E4A13CD" w14:textId="77777777" w:rsidR="005350B7" w:rsidRPr="00A862BC" w:rsidRDefault="005350B7" w:rsidP="005350B7">
      <w:pPr>
        <w:spacing w:line="240" w:lineRule="auto"/>
        <w:rPr>
          <w:rFonts w:cs="Arial"/>
          <w:b/>
          <w:bCs/>
          <w:i/>
          <w:iCs/>
          <w:sz w:val="20"/>
          <w:szCs w:val="20"/>
          <w:lang w:val="it-CH"/>
        </w:rPr>
      </w:pPr>
    </w:p>
    <w:p w14:paraId="6CFE8A03" w14:textId="19F9C39A" w:rsidR="00A862BC" w:rsidRPr="00A862BC" w:rsidRDefault="00A862BC" w:rsidP="00A862BC">
      <w:pPr>
        <w:spacing w:line="240" w:lineRule="auto"/>
        <w:rPr>
          <w:rFonts w:cs="Arial"/>
          <w:b/>
          <w:bCs/>
          <w:i/>
          <w:iCs/>
          <w:sz w:val="20"/>
          <w:szCs w:val="20"/>
          <w:lang w:val="it-CH"/>
        </w:rPr>
      </w:pPr>
      <w:r w:rsidRPr="00A862BC">
        <w:rPr>
          <w:rFonts w:cs="Arial"/>
          <w:b/>
          <w:bCs/>
          <w:i/>
          <w:iCs/>
          <w:sz w:val="20"/>
          <w:szCs w:val="20"/>
          <w:lang w:val="it-CH"/>
        </w:rPr>
        <w:t>Didascali</w:t>
      </w:r>
      <w:r w:rsidR="00295A7F">
        <w:rPr>
          <w:rFonts w:cs="Arial"/>
          <w:b/>
          <w:bCs/>
          <w:i/>
          <w:iCs/>
          <w:sz w:val="20"/>
          <w:szCs w:val="20"/>
          <w:lang w:val="it-CH"/>
        </w:rPr>
        <w:t>e</w:t>
      </w:r>
      <w:r w:rsidRPr="00A862BC">
        <w:rPr>
          <w:rFonts w:cs="Arial"/>
          <w:b/>
          <w:bCs/>
          <w:i/>
          <w:iCs/>
          <w:sz w:val="20"/>
          <w:szCs w:val="20"/>
          <w:lang w:val="it-CH"/>
        </w:rPr>
        <w:t xml:space="preserve"> </w:t>
      </w:r>
    </w:p>
    <w:p w14:paraId="7C017764" w14:textId="56A47C4F" w:rsidR="00A862BC" w:rsidRPr="00A862BC" w:rsidRDefault="00190C79" w:rsidP="00A862BC">
      <w:pPr>
        <w:spacing w:line="240" w:lineRule="auto"/>
        <w:rPr>
          <w:rFonts w:cs="Arial"/>
          <w:i/>
          <w:iCs/>
          <w:sz w:val="20"/>
          <w:szCs w:val="20"/>
          <w:lang w:val="it-CH"/>
        </w:rPr>
      </w:pPr>
      <w:r>
        <w:rPr>
          <w:rFonts w:cs="Arial"/>
          <w:i/>
          <w:iCs/>
          <w:sz w:val="20"/>
          <w:szCs w:val="20"/>
          <w:lang w:val="it-CH"/>
        </w:rPr>
        <w:t>Immagine</w:t>
      </w:r>
      <w:r w:rsidR="00A862BC" w:rsidRPr="00A862BC">
        <w:rPr>
          <w:rFonts w:cs="Arial"/>
          <w:i/>
          <w:iCs/>
          <w:sz w:val="20"/>
          <w:szCs w:val="20"/>
          <w:lang w:val="it-CH"/>
        </w:rPr>
        <w:t xml:space="preserve"> 1: nel 2024 le auto ibride supereranno quelle a benzina per numero di nuove immatricolazioni. </w:t>
      </w:r>
      <w:r w:rsidR="00295A7F">
        <w:rPr>
          <w:rFonts w:cs="Arial"/>
          <w:i/>
          <w:iCs/>
          <w:sz w:val="20"/>
          <w:szCs w:val="20"/>
          <w:lang w:val="it-CH"/>
        </w:rPr>
        <w:t>Foto</w:t>
      </w:r>
      <w:r w:rsidR="00A862BC" w:rsidRPr="00A862BC">
        <w:rPr>
          <w:rFonts w:cs="Arial"/>
          <w:i/>
          <w:iCs/>
          <w:sz w:val="20"/>
          <w:szCs w:val="20"/>
          <w:lang w:val="it-CH"/>
        </w:rPr>
        <w:t xml:space="preserve">: </w:t>
      </w:r>
      <w:proofErr w:type="spellStart"/>
      <w:r w:rsidR="00A862BC" w:rsidRPr="00A862BC">
        <w:rPr>
          <w:rFonts w:cs="Arial"/>
          <w:i/>
          <w:iCs/>
          <w:sz w:val="20"/>
          <w:szCs w:val="20"/>
          <w:lang w:val="it-CH"/>
        </w:rPr>
        <w:t>zVg</w:t>
      </w:r>
      <w:proofErr w:type="spellEnd"/>
    </w:p>
    <w:p w14:paraId="07D75F25" w14:textId="4CFA8DB7" w:rsidR="005350B7" w:rsidRPr="00A862BC" w:rsidRDefault="00190C79" w:rsidP="00A862BC">
      <w:pPr>
        <w:spacing w:line="240" w:lineRule="auto"/>
        <w:rPr>
          <w:rFonts w:cs="Arial"/>
          <w:i/>
          <w:iCs/>
          <w:sz w:val="20"/>
          <w:szCs w:val="20"/>
          <w:lang w:val="it-CH"/>
        </w:rPr>
      </w:pPr>
      <w:r>
        <w:rPr>
          <w:rFonts w:cs="Arial"/>
          <w:i/>
          <w:iCs/>
          <w:sz w:val="20"/>
          <w:szCs w:val="20"/>
          <w:lang w:val="it-CH"/>
        </w:rPr>
        <w:t>Immagine</w:t>
      </w:r>
      <w:r w:rsidR="00A862BC" w:rsidRPr="00A862BC">
        <w:rPr>
          <w:rFonts w:cs="Arial"/>
          <w:i/>
          <w:iCs/>
          <w:sz w:val="20"/>
          <w:szCs w:val="20"/>
          <w:lang w:val="it-CH"/>
        </w:rPr>
        <w:t xml:space="preserve"> 2: Le vendite nel settore delle officine continueranno probabilmente a crescere l'anno prossimo. </w:t>
      </w:r>
      <w:r w:rsidR="00295A7F">
        <w:rPr>
          <w:rFonts w:cs="Arial"/>
          <w:i/>
          <w:iCs/>
          <w:sz w:val="20"/>
          <w:szCs w:val="20"/>
          <w:lang w:val="it-CH"/>
        </w:rPr>
        <w:t>Foto</w:t>
      </w:r>
      <w:r w:rsidR="00A862BC" w:rsidRPr="00A862BC">
        <w:rPr>
          <w:rFonts w:cs="Arial"/>
          <w:i/>
          <w:iCs/>
          <w:sz w:val="20"/>
          <w:szCs w:val="20"/>
          <w:lang w:val="it-CH"/>
        </w:rPr>
        <w:t xml:space="preserve">: </w:t>
      </w:r>
      <w:proofErr w:type="spellStart"/>
      <w:r w:rsidR="00A862BC" w:rsidRPr="00A862BC">
        <w:rPr>
          <w:rFonts w:cs="Arial"/>
          <w:i/>
          <w:iCs/>
          <w:sz w:val="20"/>
          <w:szCs w:val="20"/>
          <w:lang w:val="it-CH"/>
        </w:rPr>
        <w:t>iStock</w:t>
      </w:r>
      <w:proofErr w:type="spellEnd"/>
      <w:r w:rsidR="00A862BC" w:rsidRPr="00A862BC">
        <w:rPr>
          <w:rFonts w:cs="Arial"/>
          <w:i/>
          <w:iCs/>
          <w:sz w:val="20"/>
          <w:szCs w:val="20"/>
          <w:lang w:val="it-CH"/>
        </w:rPr>
        <w:t>.</w:t>
      </w:r>
    </w:p>
    <w:p w14:paraId="6BBA9D08" w14:textId="77777777" w:rsidR="00A862BC" w:rsidRPr="00A862BC" w:rsidRDefault="00A862BC" w:rsidP="00A862BC">
      <w:pPr>
        <w:spacing w:line="240" w:lineRule="auto"/>
        <w:rPr>
          <w:lang w:val="it-CH"/>
        </w:rPr>
      </w:pPr>
    </w:p>
    <w:p w14:paraId="2E21DE7D" w14:textId="23DD5268" w:rsidR="005350B7" w:rsidRDefault="00A862BC" w:rsidP="005350B7">
      <w:pPr>
        <w:spacing w:line="240" w:lineRule="auto"/>
        <w:ind w:right="-114"/>
        <w:rPr>
          <w:b/>
          <w:i/>
          <w:iCs/>
          <w:color w:val="000000" w:themeColor="text1"/>
          <w:sz w:val="16"/>
          <w:szCs w:val="16"/>
          <w:lang w:val="it-CH"/>
        </w:rPr>
      </w:pPr>
      <w:bookmarkStart w:id="1" w:name="OLE_LINK1"/>
      <w:bookmarkStart w:id="2" w:name="OLE_LINK2"/>
      <w:r w:rsidRPr="00A862BC">
        <w:rPr>
          <w:b/>
          <w:i/>
          <w:iCs/>
          <w:color w:val="000000" w:themeColor="text1"/>
          <w:sz w:val="16"/>
          <w:szCs w:val="16"/>
          <w:lang w:val="it-CH"/>
        </w:rPr>
        <w:t xml:space="preserve">Per ulteriori informazioni, </w:t>
      </w:r>
      <w:r w:rsidRPr="00A862BC">
        <w:rPr>
          <w:bCs/>
          <w:i/>
          <w:iCs/>
          <w:color w:val="000000" w:themeColor="text1"/>
          <w:sz w:val="16"/>
          <w:szCs w:val="16"/>
          <w:lang w:val="it-CH"/>
        </w:rPr>
        <w:t xml:space="preserve">contattare Yves Schott, AGVS Communications &amp; Media, telefono 031 307 15 43, e-mail </w:t>
      </w:r>
      <w:hyperlink r:id="rId9" w:history="1">
        <w:r w:rsidRPr="00A862BC">
          <w:rPr>
            <w:rStyle w:val="Hyperlink"/>
            <w:bCs/>
            <w:i/>
            <w:iCs/>
            <w:sz w:val="16"/>
            <w:szCs w:val="16"/>
            <w:lang w:val="it-CH"/>
          </w:rPr>
          <w:t>yves.schott@agvs-upsa.ch</w:t>
        </w:r>
      </w:hyperlink>
      <w:r w:rsidRPr="00A862BC">
        <w:rPr>
          <w:bCs/>
          <w:i/>
          <w:iCs/>
          <w:color w:val="000000" w:themeColor="text1"/>
          <w:sz w:val="16"/>
          <w:szCs w:val="16"/>
          <w:lang w:val="it-CH"/>
        </w:rPr>
        <w:t>.</w:t>
      </w:r>
    </w:p>
    <w:p w14:paraId="58291E73" w14:textId="77777777" w:rsidR="00A862BC" w:rsidRPr="00A862BC" w:rsidRDefault="00A862BC" w:rsidP="005350B7">
      <w:pPr>
        <w:spacing w:line="240" w:lineRule="auto"/>
        <w:ind w:right="-114"/>
        <w:rPr>
          <w:i/>
          <w:color w:val="000000"/>
          <w:sz w:val="16"/>
          <w:szCs w:val="16"/>
          <w:lang w:val="it-CH"/>
        </w:rPr>
      </w:pPr>
    </w:p>
    <w:bookmarkEnd w:id="1"/>
    <w:bookmarkEnd w:id="2"/>
    <w:p w14:paraId="72E56CC1" w14:textId="77777777" w:rsidR="00A862BC" w:rsidRDefault="00A862BC" w:rsidP="00A862BC">
      <w:pPr>
        <w:spacing w:line="180" w:lineRule="exact"/>
        <w:rPr>
          <w:rFonts w:cs="Arial"/>
          <w:b/>
          <w:i/>
          <w:iCs/>
          <w:sz w:val="16"/>
          <w:szCs w:val="16"/>
          <w:lang w:val="it-IT"/>
        </w:rPr>
      </w:pPr>
      <w:r>
        <w:rPr>
          <w:rFonts w:cs="Arial"/>
          <w:b/>
          <w:i/>
          <w:iCs/>
          <w:sz w:val="16"/>
          <w:szCs w:val="16"/>
          <w:lang w:val="it-IT"/>
        </w:rPr>
        <w:t>L'Unione professionale svizzera dell'automobile (UPSA)</w:t>
      </w:r>
    </w:p>
    <w:p w14:paraId="668A234B" w14:textId="77777777" w:rsidR="00A862BC" w:rsidRDefault="00A862BC" w:rsidP="00A862BC">
      <w:pPr>
        <w:spacing w:line="180" w:lineRule="exact"/>
        <w:rPr>
          <w:i/>
          <w:iCs/>
          <w:sz w:val="16"/>
          <w:szCs w:val="16"/>
          <w:lang w:val="it-IT"/>
        </w:rPr>
      </w:pPr>
      <w:r>
        <w:rPr>
          <w:i/>
          <w:iCs/>
          <w:sz w:val="16"/>
          <w:szCs w:val="16"/>
          <w:lang w:val="it-IT"/>
        </w:rPr>
        <w:t>Il commercio automobilistico svizzero è finemente strutturato: fondata nel 1927, l'UPSA è oggi l'associazione di categoria e professionale delle officine svizzere, a cui aderiscono circa 4.000 aziende di piccole, medie e grandi dimensioni, rappresentanti di marchi e imprese indipendenti. I 39.000 dipendenti delle aziende dell'UPSA, tra cui 9.000 apprendisti, vendono, manutengono e riparano la maggior parte del parco auto svizzero, che conta circa 6 milioni di veicoli.</w:t>
      </w:r>
    </w:p>
    <w:p w14:paraId="7CC55B65" w14:textId="1F86011D" w:rsidR="00497027" w:rsidRPr="00284B4D" w:rsidRDefault="00371B73" w:rsidP="0027534D">
      <w:pPr>
        <w:spacing w:line="180" w:lineRule="atLeast"/>
        <w:jc w:val="both"/>
        <w:rPr>
          <w:b/>
          <w:bCs/>
          <w:sz w:val="16"/>
          <w:szCs w:val="16"/>
        </w:rPr>
      </w:pPr>
      <w:r w:rsidRPr="00D444DE">
        <w:rPr>
          <w:b/>
          <w:bCs/>
          <w:noProof/>
          <w:sz w:val="16"/>
          <w:szCs w:val="16"/>
        </w:rPr>
        <w:drawing>
          <wp:anchor distT="0" distB="0" distL="114300" distR="114300" simplePos="0" relativeHeight="251660288" behindDoc="0" locked="0" layoutInCell="1" allowOverlap="1" wp14:anchorId="497600F0" wp14:editId="54567E48">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497027" w:rsidRPr="00284B4D" w:rsidSect="00DC1198">
      <w:footerReference w:type="default" r:id="rId11"/>
      <w:headerReference w:type="first" r:id="rId12"/>
      <w:footerReference w:type="first" r:id="rId13"/>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A333" w14:textId="77777777" w:rsidR="00D8152D" w:rsidRDefault="00D8152D">
      <w:pPr>
        <w:spacing w:line="240" w:lineRule="auto"/>
      </w:pPr>
      <w:r>
        <w:separator/>
      </w:r>
    </w:p>
  </w:endnote>
  <w:endnote w:type="continuationSeparator" w:id="0">
    <w:p w14:paraId="572D86E2" w14:textId="77777777" w:rsidR="00D8152D" w:rsidRDefault="00D81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C71037"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C71037" w:rsidRDefault="00C71037">
          <w:pPr>
            <w:pStyle w:val="Speicherpfad6pt"/>
            <w:rPr>
              <w:lang w:val="en-GB"/>
            </w:rPr>
          </w:pPr>
        </w:p>
      </w:tc>
    </w:tr>
  </w:tbl>
  <w:p w14:paraId="2F718E52" w14:textId="77777777" w:rsidR="00C71037" w:rsidRDefault="00C7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C71037" w:rsidRDefault="00C71037" w:rsidP="000635E0">
    <w:pPr>
      <w:pStyle w:val="Logo"/>
    </w:pPr>
  </w:p>
  <w:p w14:paraId="534EB19A" w14:textId="77777777" w:rsidR="00C71037" w:rsidRDefault="00C7103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2EDF" w14:textId="77777777" w:rsidR="00D8152D" w:rsidRDefault="00D8152D">
      <w:pPr>
        <w:spacing w:line="240" w:lineRule="auto"/>
      </w:pPr>
      <w:r>
        <w:separator/>
      </w:r>
    </w:p>
  </w:footnote>
  <w:footnote w:type="continuationSeparator" w:id="0">
    <w:p w14:paraId="18E016D5" w14:textId="77777777" w:rsidR="00D8152D" w:rsidRDefault="00D81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C71037"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6B9B"/>
    <w:multiLevelType w:val="hybridMultilevel"/>
    <w:tmpl w:val="DA72BF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3FEE46E0"/>
    <w:multiLevelType w:val="hybridMultilevel"/>
    <w:tmpl w:val="A008F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916E29"/>
    <w:multiLevelType w:val="hybridMultilevel"/>
    <w:tmpl w:val="FA9CD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E69362E"/>
    <w:multiLevelType w:val="hybridMultilevel"/>
    <w:tmpl w:val="78085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8372B71"/>
    <w:multiLevelType w:val="hybridMultilevel"/>
    <w:tmpl w:val="596AC7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20713139">
    <w:abstractNumId w:val="3"/>
  </w:num>
  <w:num w:numId="2" w16cid:durableId="1567378029">
    <w:abstractNumId w:val="4"/>
  </w:num>
  <w:num w:numId="3" w16cid:durableId="30812500">
    <w:abstractNumId w:val="1"/>
  </w:num>
  <w:num w:numId="4" w16cid:durableId="1153910381">
    <w:abstractNumId w:val="0"/>
  </w:num>
  <w:num w:numId="5" w16cid:durableId="175724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21BC1"/>
    <w:rsid w:val="00024DF8"/>
    <w:rsid w:val="00033075"/>
    <w:rsid w:val="00040535"/>
    <w:rsid w:val="00041845"/>
    <w:rsid w:val="00042F1F"/>
    <w:rsid w:val="00054995"/>
    <w:rsid w:val="00074120"/>
    <w:rsid w:val="000857EE"/>
    <w:rsid w:val="0009280B"/>
    <w:rsid w:val="000A1CBC"/>
    <w:rsid w:val="000B5638"/>
    <w:rsid w:val="000C59A1"/>
    <w:rsid w:val="000C76AF"/>
    <w:rsid w:val="000D0C74"/>
    <w:rsid w:val="000D226C"/>
    <w:rsid w:val="000D4821"/>
    <w:rsid w:val="000E0B7F"/>
    <w:rsid w:val="000E1AA4"/>
    <w:rsid w:val="000F6E63"/>
    <w:rsid w:val="0010068C"/>
    <w:rsid w:val="0010438B"/>
    <w:rsid w:val="0011027D"/>
    <w:rsid w:val="00120452"/>
    <w:rsid w:val="00121000"/>
    <w:rsid w:val="0012379C"/>
    <w:rsid w:val="001258B1"/>
    <w:rsid w:val="0013472D"/>
    <w:rsid w:val="001438B1"/>
    <w:rsid w:val="00154579"/>
    <w:rsid w:val="00172763"/>
    <w:rsid w:val="00177260"/>
    <w:rsid w:val="00184DAC"/>
    <w:rsid w:val="00185A91"/>
    <w:rsid w:val="00190C79"/>
    <w:rsid w:val="0019578B"/>
    <w:rsid w:val="001A6991"/>
    <w:rsid w:val="001B1A4C"/>
    <w:rsid w:val="001B302F"/>
    <w:rsid w:val="001B670D"/>
    <w:rsid w:val="001C08DA"/>
    <w:rsid w:val="001C2583"/>
    <w:rsid w:val="001D2A50"/>
    <w:rsid w:val="001D3663"/>
    <w:rsid w:val="001D78D4"/>
    <w:rsid w:val="001E6A93"/>
    <w:rsid w:val="00204498"/>
    <w:rsid w:val="00213747"/>
    <w:rsid w:val="00231423"/>
    <w:rsid w:val="00231EA4"/>
    <w:rsid w:val="002422B5"/>
    <w:rsid w:val="00242953"/>
    <w:rsid w:val="00247190"/>
    <w:rsid w:val="0024728B"/>
    <w:rsid w:val="0025121B"/>
    <w:rsid w:val="002541CA"/>
    <w:rsid w:val="00257F97"/>
    <w:rsid w:val="00262754"/>
    <w:rsid w:val="00262C17"/>
    <w:rsid w:val="00274800"/>
    <w:rsid w:val="0027534D"/>
    <w:rsid w:val="00280BA4"/>
    <w:rsid w:val="00284B4D"/>
    <w:rsid w:val="00285B64"/>
    <w:rsid w:val="0028643B"/>
    <w:rsid w:val="00295A7F"/>
    <w:rsid w:val="002A22F9"/>
    <w:rsid w:val="002A28DF"/>
    <w:rsid w:val="002A5385"/>
    <w:rsid w:val="002A550C"/>
    <w:rsid w:val="002D1CA5"/>
    <w:rsid w:val="002E3EB6"/>
    <w:rsid w:val="002F11F8"/>
    <w:rsid w:val="003016F3"/>
    <w:rsid w:val="003123BC"/>
    <w:rsid w:val="003176A1"/>
    <w:rsid w:val="00320939"/>
    <w:rsid w:val="00325894"/>
    <w:rsid w:val="00332009"/>
    <w:rsid w:val="00333277"/>
    <w:rsid w:val="00333F7F"/>
    <w:rsid w:val="003360D0"/>
    <w:rsid w:val="00341DDF"/>
    <w:rsid w:val="003437FC"/>
    <w:rsid w:val="00353C4C"/>
    <w:rsid w:val="00363ACD"/>
    <w:rsid w:val="00366713"/>
    <w:rsid w:val="00371B73"/>
    <w:rsid w:val="00383190"/>
    <w:rsid w:val="00391195"/>
    <w:rsid w:val="00392986"/>
    <w:rsid w:val="00395668"/>
    <w:rsid w:val="003A4277"/>
    <w:rsid w:val="003B5879"/>
    <w:rsid w:val="003C38A1"/>
    <w:rsid w:val="003D5E35"/>
    <w:rsid w:val="003D7FC6"/>
    <w:rsid w:val="003E4E2D"/>
    <w:rsid w:val="003F0A32"/>
    <w:rsid w:val="003F108F"/>
    <w:rsid w:val="0040037E"/>
    <w:rsid w:val="00401445"/>
    <w:rsid w:val="0041696B"/>
    <w:rsid w:val="004251B5"/>
    <w:rsid w:val="004374F2"/>
    <w:rsid w:val="00437E80"/>
    <w:rsid w:val="00443CF4"/>
    <w:rsid w:val="004526E0"/>
    <w:rsid w:val="00457946"/>
    <w:rsid w:val="00474270"/>
    <w:rsid w:val="00484998"/>
    <w:rsid w:val="00491BA0"/>
    <w:rsid w:val="00491F1A"/>
    <w:rsid w:val="004933FB"/>
    <w:rsid w:val="00497027"/>
    <w:rsid w:val="004B2014"/>
    <w:rsid w:val="004C0D89"/>
    <w:rsid w:val="004F1A40"/>
    <w:rsid w:val="004F59CF"/>
    <w:rsid w:val="00513D87"/>
    <w:rsid w:val="00513E04"/>
    <w:rsid w:val="00513E5E"/>
    <w:rsid w:val="00524AF9"/>
    <w:rsid w:val="00527B94"/>
    <w:rsid w:val="005350B7"/>
    <w:rsid w:val="00540366"/>
    <w:rsid w:val="0056116A"/>
    <w:rsid w:val="005620AD"/>
    <w:rsid w:val="00570674"/>
    <w:rsid w:val="0059111F"/>
    <w:rsid w:val="0059439C"/>
    <w:rsid w:val="005945AF"/>
    <w:rsid w:val="005A22AE"/>
    <w:rsid w:val="005D01F5"/>
    <w:rsid w:val="005D4EF6"/>
    <w:rsid w:val="005D5A0E"/>
    <w:rsid w:val="005E0139"/>
    <w:rsid w:val="005E62B4"/>
    <w:rsid w:val="005E7FDD"/>
    <w:rsid w:val="00603F0E"/>
    <w:rsid w:val="00613E27"/>
    <w:rsid w:val="006140FA"/>
    <w:rsid w:val="00625D73"/>
    <w:rsid w:val="00653344"/>
    <w:rsid w:val="006546B6"/>
    <w:rsid w:val="00657456"/>
    <w:rsid w:val="0066161E"/>
    <w:rsid w:val="00662D52"/>
    <w:rsid w:val="00673D73"/>
    <w:rsid w:val="00695041"/>
    <w:rsid w:val="0069583F"/>
    <w:rsid w:val="006A08A0"/>
    <w:rsid w:val="006A7AF9"/>
    <w:rsid w:val="006B3305"/>
    <w:rsid w:val="006C4B61"/>
    <w:rsid w:val="006D1388"/>
    <w:rsid w:val="006D2771"/>
    <w:rsid w:val="006D47B6"/>
    <w:rsid w:val="006D4994"/>
    <w:rsid w:val="006D4C1C"/>
    <w:rsid w:val="006E2A1B"/>
    <w:rsid w:val="006F47F5"/>
    <w:rsid w:val="006F4DC4"/>
    <w:rsid w:val="00707E97"/>
    <w:rsid w:val="007344B1"/>
    <w:rsid w:val="00744520"/>
    <w:rsid w:val="00752625"/>
    <w:rsid w:val="00753E68"/>
    <w:rsid w:val="0077147E"/>
    <w:rsid w:val="00773209"/>
    <w:rsid w:val="007748D8"/>
    <w:rsid w:val="007755C2"/>
    <w:rsid w:val="0078725F"/>
    <w:rsid w:val="00790FC9"/>
    <w:rsid w:val="00791D34"/>
    <w:rsid w:val="007926AA"/>
    <w:rsid w:val="007A1783"/>
    <w:rsid w:val="007A17BE"/>
    <w:rsid w:val="007B459F"/>
    <w:rsid w:val="007C054C"/>
    <w:rsid w:val="007C74FD"/>
    <w:rsid w:val="007D6FB1"/>
    <w:rsid w:val="007E42EE"/>
    <w:rsid w:val="007E4916"/>
    <w:rsid w:val="007E690E"/>
    <w:rsid w:val="007F4B11"/>
    <w:rsid w:val="007F6B07"/>
    <w:rsid w:val="008349A2"/>
    <w:rsid w:val="00841253"/>
    <w:rsid w:val="00843AE1"/>
    <w:rsid w:val="00854548"/>
    <w:rsid w:val="00856CF8"/>
    <w:rsid w:val="00864921"/>
    <w:rsid w:val="0086537F"/>
    <w:rsid w:val="008658BC"/>
    <w:rsid w:val="00873DB9"/>
    <w:rsid w:val="00887EC3"/>
    <w:rsid w:val="00891CA0"/>
    <w:rsid w:val="008923FF"/>
    <w:rsid w:val="008A5422"/>
    <w:rsid w:val="008A73B6"/>
    <w:rsid w:val="008B0049"/>
    <w:rsid w:val="008B15AB"/>
    <w:rsid w:val="008B5EA8"/>
    <w:rsid w:val="008C0B6A"/>
    <w:rsid w:val="008C11EB"/>
    <w:rsid w:val="008C1E68"/>
    <w:rsid w:val="008D1235"/>
    <w:rsid w:val="008E0603"/>
    <w:rsid w:val="008E0D5B"/>
    <w:rsid w:val="008E76FB"/>
    <w:rsid w:val="008F03CF"/>
    <w:rsid w:val="0092012F"/>
    <w:rsid w:val="0092240D"/>
    <w:rsid w:val="009240AC"/>
    <w:rsid w:val="00935F11"/>
    <w:rsid w:val="00941F97"/>
    <w:rsid w:val="00945B96"/>
    <w:rsid w:val="00952DC3"/>
    <w:rsid w:val="00954369"/>
    <w:rsid w:val="009611FE"/>
    <w:rsid w:val="00964F2E"/>
    <w:rsid w:val="00974C5F"/>
    <w:rsid w:val="009947E6"/>
    <w:rsid w:val="0099522A"/>
    <w:rsid w:val="0099606A"/>
    <w:rsid w:val="00996FF7"/>
    <w:rsid w:val="009974CC"/>
    <w:rsid w:val="009A360F"/>
    <w:rsid w:val="009A71F5"/>
    <w:rsid w:val="009B312B"/>
    <w:rsid w:val="009C71E3"/>
    <w:rsid w:val="00A0627C"/>
    <w:rsid w:val="00A15D39"/>
    <w:rsid w:val="00A338C4"/>
    <w:rsid w:val="00A33AA4"/>
    <w:rsid w:val="00A374FF"/>
    <w:rsid w:val="00A40E0C"/>
    <w:rsid w:val="00A426EF"/>
    <w:rsid w:val="00A43705"/>
    <w:rsid w:val="00A46922"/>
    <w:rsid w:val="00A773F3"/>
    <w:rsid w:val="00A84FFD"/>
    <w:rsid w:val="00A862BC"/>
    <w:rsid w:val="00A96103"/>
    <w:rsid w:val="00AA76DB"/>
    <w:rsid w:val="00AB5EB0"/>
    <w:rsid w:val="00AB7F75"/>
    <w:rsid w:val="00AC241F"/>
    <w:rsid w:val="00AC33C9"/>
    <w:rsid w:val="00AD0F96"/>
    <w:rsid w:val="00AD6825"/>
    <w:rsid w:val="00AE07D6"/>
    <w:rsid w:val="00AE0DBF"/>
    <w:rsid w:val="00AE4013"/>
    <w:rsid w:val="00AE77A0"/>
    <w:rsid w:val="00AF5AAB"/>
    <w:rsid w:val="00B07F6C"/>
    <w:rsid w:val="00B1141C"/>
    <w:rsid w:val="00B1199C"/>
    <w:rsid w:val="00B137C0"/>
    <w:rsid w:val="00B13D91"/>
    <w:rsid w:val="00B140D1"/>
    <w:rsid w:val="00B230AE"/>
    <w:rsid w:val="00B25641"/>
    <w:rsid w:val="00B25D20"/>
    <w:rsid w:val="00B31E80"/>
    <w:rsid w:val="00B506AB"/>
    <w:rsid w:val="00B606A8"/>
    <w:rsid w:val="00B60C1F"/>
    <w:rsid w:val="00B61251"/>
    <w:rsid w:val="00B645D9"/>
    <w:rsid w:val="00B64D57"/>
    <w:rsid w:val="00B65B84"/>
    <w:rsid w:val="00B82975"/>
    <w:rsid w:val="00B926CD"/>
    <w:rsid w:val="00B92B15"/>
    <w:rsid w:val="00B95A86"/>
    <w:rsid w:val="00BA696C"/>
    <w:rsid w:val="00BE0CB1"/>
    <w:rsid w:val="00BE0DEC"/>
    <w:rsid w:val="00BE71C3"/>
    <w:rsid w:val="00BF363D"/>
    <w:rsid w:val="00C06FD5"/>
    <w:rsid w:val="00C0789F"/>
    <w:rsid w:val="00C10627"/>
    <w:rsid w:val="00C2015B"/>
    <w:rsid w:val="00C212FF"/>
    <w:rsid w:val="00C279C9"/>
    <w:rsid w:val="00C46453"/>
    <w:rsid w:val="00C558DD"/>
    <w:rsid w:val="00C65724"/>
    <w:rsid w:val="00C71037"/>
    <w:rsid w:val="00C74DE5"/>
    <w:rsid w:val="00C81200"/>
    <w:rsid w:val="00C90C62"/>
    <w:rsid w:val="00CA4C64"/>
    <w:rsid w:val="00CA723E"/>
    <w:rsid w:val="00CD256A"/>
    <w:rsid w:val="00CD2D68"/>
    <w:rsid w:val="00CD3358"/>
    <w:rsid w:val="00CD345E"/>
    <w:rsid w:val="00CE4BCC"/>
    <w:rsid w:val="00D1015D"/>
    <w:rsid w:val="00D25143"/>
    <w:rsid w:val="00D32AF2"/>
    <w:rsid w:val="00D3589A"/>
    <w:rsid w:val="00D450FB"/>
    <w:rsid w:val="00D522E1"/>
    <w:rsid w:val="00D60C40"/>
    <w:rsid w:val="00D63264"/>
    <w:rsid w:val="00D7286B"/>
    <w:rsid w:val="00D8152D"/>
    <w:rsid w:val="00D8592C"/>
    <w:rsid w:val="00D85C3A"/>
    <w:rsid w:val="00D94F99"/>
    <w:rsid w:val="00D97451"/>
    <w:rsid w:val="00DA75AC"/>
    <w:rsid w:val="00DB35BB"/>
    <w:rsid w:val="00DB63F6"/>
    <w:rsid w:val="00DC007A"/>
    <w:rsid w:val="00DC2100"/>
    <w:rsid w:val="00DC2439"/>
    <w:rsid w:val="00DC5F0C"/>
    <w:rsid w:val="00DC742A"/>
    <w:rsid w:val="00DD6081"/>
    <w:rsid w:val="00DE5EA9"/>
    <w:rsid w:val="00DF41E8"/>
    <w:rsid w:val="00E11CD9"/>
    <w:rsid w:val="00E12429"/>
    <w:rsid w:val="00E14666"/>
    <w:rsid w:val="00E30567"/>
    <w:rsid w:val="00E321CA"/>
    <w:rsid w:val="00E40D8D"/>
    <w:rsid w:val="00E471B0"/>
    <w:rsid w:val="00E50E96"/>
    <w:rsid w:val="00E52712"/>
    <w:rsid w:val="00E52A04"/>
    <w:rsid w:val="00E5718A"/>
    <w:rsid w:val="00E60B2E"/>
    <w:rsid w:val="00E60E96"/>
    <w:rsid w:val="00E67BE9"/>
    <w:rsid w:val="00E7326F"/>
    <w:rsid w:val="00E77A56"/>
    <w:rsid w:val="00E831EB"/>
    <w:rsid w:val="00E86099"/>
    <w:rsid w:val="00E86BF0"/>
    <w:rsid w:val="00E873A9"/>
    <w:rsid w:val="00EB122F"/>
    <w:rsid w:val="00EB5379"/>
    <w:rsid w:val="00EC5B1A"/>
    <w:rsid w:val="00EC7679"/>
    <w:rsid w:val="00ED1FEC"/>
    <w:rsid w:val="00ED438B"/>
    <w:rsid w:val="00EE2297"/>
    <w:rsid w:val="00EE4704"/>
    <w:rsid w:val="00EF04B3"/>
    <w:rsid w:val="00EF0775"/>
    <w:rsid w:val="00EF169D"/>
    <w:rsid w:val="00EF4CD6"/>
    <w:rsid w:val="00F1339B"/>
    <w:rsid w:val="00F1661D"/>
    <w:rsid w:val="00F25515"/>
    <w:rsid w:val="00F32285"/>
    <w:rsid w:val="00F37225"/>
    <w:rsid w:val="00F40981"/>
    <w:rsid w:val="00F42FA4"/>
    <w:rsid w:val="00F8573B"/>
    <w:rsid w:val="00F85BC3"/>
    <w:rsid w:val="00F91BE3"/>
    <w:rsid w:val="00F969C1"/>
    <w:rsid w:val="00F96A61"/>
    <w:rsid w:val="00FA2EC9"/>
    <w:rsid w:val="00FC1EAA"/>
    <w:rsid w:val="00FD0F4F"/>
    <w:rsid w:val="00FD684C"/>
    <w:rsid w:val="00FE2270"/>
    <w:rsid w:val="00FE2A89"/>
    <w:rsid w:val="00FE561A"/>
    <w:rsid w:val="00FE71BC"/>
    <w:rsid w:val="00FF50F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F1661D"/>
    <w:rPr>
      <w:color w:val="605E5C"/>
      <w:shd w:val="clear" w:color="auto" w:fill="E1DFDD"/>
    </w:rPr>
  </w:style>
  <w:style w:type="paragraph" w:styleId="Listenabsatz">
    <w:name w:val="List Paragraph"/>
    <w:basedOn w:val="Standard"/>
    <w:uiPriority w:val="34"/>
    <w:qFormat/>
    <w:rsid w:val="002A550C"/>
    <w:pPr>
      <w:ind w:left="720"/>
      <w:contextualSpacing/>
    </w:pPr>
  </w:style>
  <w:style w:type="paragraph" w:styleId="KeinLeerraum">
    <w:name w:val="No Spacing"/>
    <w:basedOn w:val="Standard"/>
    <w:next w:val="Standard"/>
    <w:uiPriority w:val="1"/>
    <w:qFormat/>
    <w:rsid w:val="00040535"/>
    <w:pPr>
      <w:spacing w:line="240" w:lineRule="auto"/>
    </w:pPr>
    <w:rPr>
      <w:rFonts w:asciiTheme="minorHAnsi" w:eastAsiaTheme="minorHAnsi" w:hAnsiTheme="minorHAnsi" w:cstheme="minorBidi"/>
      <w:color w:val="000000"/>
      <w:sz w:val="20"/>
      <w:szCs w:val="22"/>
      <w:lang w:eastAsia="en-US"/>
    </w:rPr>
  </w:style>
  <w:style w:type="paragraph" w:customStyle="1" w:styleId="Zwischentitel">
    <w:name w:val="Zwischentitel"/>
    <w:basedOn w:val="Standard"/>
    <w:next w:val="Standard"/>
    <w:qFormat/>
    <w:rsid w:val="00040535"/>
    <w:pPr>
      <w:spacing w:before="240" w:after="120" w:line="240" w:lineRule="auto"/>
    </w:pPr>
    <w:rPr>
      <w:rFonts w:asciiTheme="minorHAnsi" w:eastAsiaTheme="minorHAnsi" w:hAnsiTheme="minorHAnsi" w:cstheme="minorBidi"/>
      <w:b/>
      <w:color w:val="000000"/>
      <w:szCs w:val="22"/>
      <w:lang w:eastAsia="en-US"/>
    </w:rPr>
  </w:style>
  <w:style w:type="character" w:styleId="BesuchterLink">
    <w:name w:val="FollowedHyperlink"/>
    <w:basedOn w:val="Absatz-Standardschriftart"/>
    <w:uiPriority w:val="99"/>
    <w:semiHidden/>
    <w:unhideWhenUsed/>
    <w:rsid w:val="004B2014"/>
    <w:rPr>
      <w:color w:val="954F72" w:themeColor="followedHyperlink"/>
      <w:u w:val="single"/>
    </w:rPr>
  </w:style>
  <w:style w:type="paragraph" w:customStyle="1" w:styleId="Lauftextfett">
    <w:name w:val="#Lauftext (fett)"/>
    <w:basedOn w:val="Lauftext"/>
    <w:link w:val="LauftextfettZchn"/>
    <w:qFormat/>
    <w:rsid w:val="005350B7"/>
    <w:rPr>
      <w:b/>
    </w:rPr>
  </w:style>
  <w:style w:type="character" w:customStyle="1" w:styleId="LauftextfettZchn">
    <w:name w:val="#Lauftext (fett) Zchn"/>
    <w:basedOn w:val="LauftextZchn"/>
    <w:link w:val="Lauftextfett"/>
    <w:rsid w:val="005350B7"/>
    <w:rPr>
      <w:rFonts w:ascii="Franklin Gothic Book" w:eastAsia="Times New Roman" w:hAnsi="Franklin Gothic Book" w:cs="Times New Roman"/>
      <w:b/>
      <w:szCs w:val="20"/>
      <w:lang w:eastAsia="de-CH"/>
    </w:rPr>
  </w:style>
  <w:style w:type="paragraph" w:customStyle="1" w:styleId="Lauftext">
    <w:name w:val="#Lauftext"/>
    <w:basedOn w:val="Standard"/>
    <w:link w:val="LauftextZchn"/>
    <w:qFormat/>
    <w:rsid w:val="005350B7"/>
    <w:pPr>
      <w:spacing w:after="240" w:line="270" w:lineRule="atLeast"/>
    </w:pPr>
    <w:rPr>
      <w:rFonts w:ascii="Franklin Gothic Book" w:hAnsi="Franklin Gothic Book"/>
      <w:szCs w:val="20"/>
    </w:rPr>
  </w:style>
  <w:style w:type="character" w:customStyle="1" w:styleId="LauftextZchn">
    <w:name w:val="#Lauftext Zchn"/>
    <w:basedOn w:val="Absatz-Standardschriftart"/>
    <w:link w:val="Lauftext"/>
    <w:rsid w:val="005350B7"/>
    <w:rPr>
      <w:rFonts w:ascii="Franklin Gothic Book" w:eastAsia="Times New Roman" w:hAnsi="Franklin Gothic Book" w:cs="Times New Roman"/>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ves.schott@agvs-ups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3795-869F-48B0-8CC2-2819C63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6</cp:revision>
  <cp:lastPrinted>2023-09-25T08:32:00Z</cp:lastPrinted>
  <dcterms:created xsi:type="dcterms:W3CDTF">2024-11-11T09:28:00Z</dcterms:created>
  <dcterms:modified xsi:type="dcterms:W3CDTF">2024-11-11T09:45:00Z</dcterms:modified>
</cp:coreProperties>
</file>